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B652" w14:textId="36485174" w:rsidR="00345C0A" w:rsidRDefault="00000000">
      <w:pPr>
        <w:pStyle w:val="Heading1"/>
        <w:rPr>
          <w:shd w:val="clear" w:color="auto" w:fill="FFFFFF"/>
        </w:rPr>
      </w:pPr>
      <w:r>
        <w:rPr>
          <w:shd w:val="clear" w:color="auto" w:fill="FFFFFF"/>
        </w:rPr>
        <w:t xml:space="preserve"> Understanding the UK Education System</w:t>
      </w:r>
    </w:p>
    <w:p w14:paraId="14D44FB8" w14:textId="77777777" w:rsidR="00345C0A" w:rsidRDefault="00000000">
      <w:pPr>
        <w:pStyle w:val="Heading2"/>
        <w:rPr>
          <w:shd w:val="clear" w:color="auto" w:fill="FFFFFF"/>
        </w:rPr>
      </w:pPr>
      <w:r>
        <w:rPr>
          <w:shd w:val="clear" w:color="auto" w:fill="FFFFFF"/>
        </w:rPr>
        <w:t>Introduction</w:t>
      </w:r>
    </w:p>
    <w:p w14:paraId="7DB8AA4C" w14:textId="77777777" w:rsidR="003C4558" w:rsidRDefault="00000000">
      <w:pPr>
        <w:pStyle w:val="BodyText"/>
        <w:ind w:left="0" w:right="0"/>
        <w:rPr>
          <w:shd w:val="clear" w:color="auto" w:fill="FFFFFF"/>
        </w:rPr>
      </w:pPr>
      <w:r>
        <w:rPr>
          <w:shd w:val="clear" w:color="auto" w:fill="FFFFFF"/>
        </w:rPr>
        <w:t xml:space="preserve">The United Kingdom’s schools and universities have long been </w:t>
      </w:r>
      <w:proofErr w:type="spellStart"/>
      <w:r>
        <w:rPr>
          <w:shd w:val="clear" w:color="auto" w:fill="FFFFFF"/>
        </w:rPr>
        <w:t>recognised</w:t>
      </w:r>
      <w:proofErr w:type="spellEnd"/>
      <w:r>
        <w:rPr>
          <w:shd w:val="clear" w:color="auto" w:fill="FFFFFF"/>
        </w:rPr>
        <w:t xml:space="preserve"> for their quality and tradition. </w:t>
      </w:r>
      <w:r w:rsidR="003C4558">
        <w:rPr>
          <w:shd w:val="clear" w:color="auto" w:fill="FFFFFF"/>
        </w:rPr>
        <w:t>However, f</w:t>
      </w:r>
      <w:r>
        <w:rPr>
          <w:shd w:val="clear" w:color="auto" w:fill="FFFFFF"/>
        </w:rPr>
        <w:t xml:space="preserve">or families relocating from </w:t>
      </w:r>
      <w:r w:rsidR="003C4558">
        <w:rPr>
          <w:shd w:val="clear" w:color="auto" w:fill="FFFFFF"/>
        </w:rPr>
        <w:t xml:space="preserve">abroad </w:t>
      </w:r>
      <w:r>
        <w:rPr>
          <w:shd w:val="clear" w:color="auto" w:fill="FFFFFF"/>
        </w:rPr>
        <w:t>or sending their children</w:t>
      </w:r>
      <w:r w:rsidR="003C4558">
        <w:rPr>
          <w:shd w:val="clear" w:color="auto" w:fill="FFFFFF"/>
        </w:rPr>
        <w:t xml:space="preserve"> </w:t>
      </w:r>
      <w:r>
        <w:rPr>
          <w:shd w:val="clear" w:color="auto" w:fill="FFFFFF"/>
        </w:rPr>
        <w:t>overseas,</w:t>
      </w:r>
      <w:r w:rsidR="003C4558">
        <w:rPr>
          <w:shd w:val="clear" w:color="auto" w:fill="FFFFFF"/>
        </w:rPr>
        <w:t xml:space="preserve"> </w:t>
      </w:r>
      <w:r>
        <w:rPr>
          <w:shd w:val="clear" w:color="auto" w:fill="FFFFFF"/>
        </w:rPr>
        <w:t xml:space="preserve">navigating the British system can seem daunting. International pupils may only </w:t>
      </w:r>
      <w:r w:rsidR="003C4558">
        <w:rPr>
          <w:shd w:val="clear" w:color="auto" w:fill="FFFFFF"/>
        </w:rPr>
        <w:t>enroll</w:t>
      </w:r>
      <w:r>
        <w:rPr>
          <w:shd w:val="clear" w:color="auto" w:fill="FFFFFF"/>
        </w:rPr>
        <w:t xml:space="preserve"> at </w:t>
      </w:r>
      <w:r>
        <w:rPr>
          <w:rStyle w:val="Strong"/>
          <w:shd w:val="clear" w:color="auto" w:fill="FFFFFF"/>
        </w:rPr>
        <w:t>independent schools</w:t>
      </w:r>
      <w:r>
        <w:rPr>
          <w:shd w:val="clear" w:color="auto" w:fill="FFFFFF"/>
        </w:rPr>
        <w:t xml:space="preserve"> that are licensed student sponsors; they cannot use a Child Student visa to attend state</w:t>
      </w:r>
      <w:r>
        <w:rPr>
          <w:shd w:val="clear" w:color="auto" w:fill="FFFFFF"/>
        </w:rPr>
        <w:noBreakHyphen/>
        <w:t xml:space="preserve">funded schools. </w:t>
      </w:r>
    </w:p>
    <w:p w14:paraId="3002F6D9" w14:textId="306A224B" w:rsidR="00345C0A" w:rsidRDefault="00000000">
      <w:pPr>
        <w:pStyle w:val="BodyText"/>
        <w:ind w:left="0" w:right="0"/>
      </w:pPr>
      <w:r>
        <w:rPr>
          <w:shd w:val="clear" w:color="auto" w:fill="FFFFFF"/>
        </w:rPr>
        <w:t>This guide offers a clear overview of the stages from nursery through sixth form, explains key qualifications and entry points, and highlights why a British education is valued worldwide.</w:t>
      </w:r>
    </w:p>
    <w:p w14:paraId="7CC4B4BA" w14:textId="77777777" w:rsidR="00345C0A" w:rsidRDefault="00000000">
      <w:pPr>
        <w:pStyle w:val="BlockQuotation"/>
      </w:pPr>
      <w:r>
        <w:rPr>
          <w:rStyle w:val="Strong"/>
          <w:shd w:val="clear" w:color="auto" w:fill="FFFFFF"/>
        </w:rPr>
        <w:t xml:space="preserve">Why </w:t>
      </w:r>
      <w:proofErr w:type="gramStart"/>
      <w:r>
        <w:rPr>
          <w:rStyle w:val="Strong"/>
          <w:shd w:val="clear" w:color="auto" w:fill="FFFFFF"/>
        </w:rPr>
        <w:t>this matters</w:t>
      </w:r>
      <w:proofErr w:type="gramEnd"/>
      <w:r>
        <w:rPr>
          <w:rStyle w:val="Strong"/>
          <w:shd w:val="clear" w:color="auto" w:fill="FFFFFF"/>
        </w:rPr>
        <w:t>:</w:t>
      </w:r>
      <w:r>
        <w:rPr>
          <w:shd w:val="clear" w:color="auto" w:fill="FFFFFF"/>
        </w:rPr>
        <w:t xml:space="preserve"> Choosing the right schooling pathway shapes your child’s academic foundation, social development and readiness for university. A proper understanding of the UK system helps families plan years in advance and ensure compliance with visa regulations. </w:t>
      </w:r>
    </w:p>
    <w:p w14:paraId="215631DE" w14:textId="77777777" w:rsidR="00345C0A" w:rsidRDefault="00000000">
      <w:pPr>
        <w:pStyle w:val="Heading2"/>
        <w:rPr>
          <w:shd w:val="clear" w:color="auto" w:fill="FFFFFF"/>
        </w:rPr>
      </w:pPr>
      <w:r>
        <w:rPr>
          <w:shd w:val="clear" w:color="auto" w:fill="FFFFFF"/>
        </w:rPr>
        <w:t>Overview of key stages</w:t>
      </w:r>
    </w:p>
    <w:p w14:paraId="0537BF49" w14:textId="77777777" w:rsidR="003C4558" w:rsidRDefault="00000000" w:rsidP="003C4558">
      <w:pPr>
        <w:pStyle w:val="BodyText"/>
        <w:ind w:left="0" w:right="0"/>
        <w:rPr>
          <w:shd w:val="clear" w:color="auto" w:fill="FFFFFF"/>
        </w:rPr>
      </w:pPr>
      <w:r>
        <w:rPr>
          <w:shd w:val="clear" w:color="auto" w:fill="FFFFFF"/>
        </w:rPr>
        <w:t xml:space="preserve">The UK education system is </w:t>
      </w:r>
      <w:proofErr w:type="spellStart"/>
      <w:r>
        <w:rPr>
          <w:shd w:val="clear" w:color="auto" w:fill="FFFFFF"/>
        </w:rPr>
        <w:t>organised</w:t>
      </w:r>
      <w:proofErr w:type="spellEnd"/>
      <w:r>
        <w:rPr>
          <w:shd w:val="clear" w:color="auto" w:fill="FFFFFF"/>
        </w:rPr>
        <w:t xml:space="preserve"> into progressive </w:t>
      </w:r>
      <w:r>
        <w:rPr>
          <w:rStyle w:val="Emphasis"/>
          <w:shd w:val="clear" w:color="auto" w:fill="FFFFFF"/>
        </w:rPr>
        <w:t>stages</w:t>
      </w:r>
      <w:r>
        <w:rPr>
          <w:shd w:val="clear" w:color="auto" w:fill="FFFFFF"/>
        </w:rPr>
        <w:t xml:space="preserve"> that correspond to age ranges. </w:t>
      </w:r>
    </w:p>
    <w:p w14:paraId="388C41BF" w14:textId="77777777" w:rsidR="003C4558" w:rsidRDefault="00000000" w:rsidP="003C4558">
      <w:pPr>
        <w:pStyle w:val="BodyText"/>
        <w:ind w:left="0" w:right="0"/>
        <w:rPr>
          <w:shd w:val="clear" w:color="auto" w:fill="FFFFFF"/>
        </w:rPr>
      </w:pPr>
      <w:r>
        <w:rPr>
          <w:shd w:val="clear" w:color="auto" w:fill="FFFFFF"/>
        </w:rPr>
        <w:t xml:space="preserve">Early childhood learning begins at ages 3–5 in the </w:t>
      </w:r>
      <w:r>
        <w:rPr>
          <w:rStyle w:val="Strong"/>
          <w:shd w:val="clear" w:color="auto" w:fill="FFFFFF"/>
        </w:rPr>
        <w:t>Early Years Foundation Stage (EYFS)</w:t>
      </w:r>
      <w:r>
        <w:rPr>
          <w:shd w:val="clear" w:color="auto" w:fill="FFFFFF"/>
        </w:rPr>
        <w:t xml:space="preserve">. </w:t>
      </w:r>
    </w:p>
    <w:p w14:paraId="11B166D3" w14:textId="0442440E" w:rsidR="003C4558" w:rsidRDefault="00000000" w:rsidP="003C4558">
      <w:pPr>
        <w:pStyle w:val="BodyText"/>
        <w:ind w:left="0" w:right="0"/>
        <w:rPr>
          <w:shd w:val="clear" w:color="auto" w:fill="FFFFFF"/>
        </w:rPr>
      </w:pPr>
      <w:r>
        <w:rPr>
          <w:rStyle w:val="Strong"/>
          <w:shd w:val="clear" w:color="auto" w:fill="FFFFFF"/>
        </w:rPr>
        <w:t>Primary education</w:t>
      </w:r>
      <w:r>
        <w:rPr>
          <w:shd w:val="clear" w:color="auto" w:fill="FFFFFF"/>
        </w:rPr>
        <w:t xml:space="preserve"> covers ages 5–11 and follows the national curriculum’s Key Stage 1 and Key Stage 2. </w:t>
      </w:r>
    </w:p>
    <w:p w14:paraId="2D961578" w14:textId="60D9C4AF" w:rsidR="00345C0A" w:rsidRPr="003C4558" w:rsidRDefault="00000000" w:rsidP="003C4558">
      <w:pPr>
        <w:pStyle w:val="BodyText"/>
        <w:ind w:left="0" w:right="0"/>
        <w:rPr>
          <w:shd w:val="clear" w:color="auto" w:fill="FFFFFF"/>
        </w:rPr>
      </w:pPr>
      <w:r>
        <w:rPr>
          <w:rStyle w:val="Strong"/>
          <w:shd w:val="clear" w:color="auto" w:fill="FFFFFF"/>
        </w:rPr>
        <w:t>Secondary education</w:t>
      </w:r>
      <w:r>
        <w:rPr>
          <w:shd w:val="clear" w:color="auto" w:fill="FFFFFF"/>
        </w:rPr>
        <w:t xml:space="preserve"> spans ages 11–16 and encompasses Key Stage 3 and Key Stage 4, culminating in the General Certificate of Secondary Education (GCSE) exams at age 1</w:t>
      </w:r>
      <w:r w:rsidR="003C4558">
        <w:rPr>
          <w:shd w:val="clear" w:color="auto" w:fill="FFFFFF"/>
        </w:rPr>
        <w:t xml:space="preserve">6. </w:t>
      </w:r>
      <w:r>
        <w:rPr>
          <w:shd w:val="clear" w:color="auto" w:fill="FFFFFF"/>
        </w:rPr>
        <w:t xml:space="preserve">Students then enter </w:t>
      </w:r>
      <w:r>
        <w:rPr>
          <w:rStyle w:val="Strong"/>
          <w:shd w:val="clear" w:color="auto" w:fill="FFFFFF"/>
        </w:rPr>
        <w:t>post</w:t>
      </w:r>
      <w:r>
        <w:rPr>
          <w:rStyle w:val="Strong"/>
          <w:shd w:val="clear" w:color="auto" w:fill="FFFFFF"/>
        </w:rPr>
        <w:noBreakHyphen/>
        <w:t>16 education</w:t>
      </w:r>
      <w:r>
        <w:rPr>
          <w:shd w:val="clear" w:color="auto" w:fill="FFFFFF"/>
        </w:rPr>
        <w:t xml:space="preserve"> (Key Stage 5) to study A</w:t>
      </w:r>
      <w:r>
        <w:rPr>
          <w:shd w:val="clear" w:color="auto" w:fill="FFFFFF"/>
        </w:rPr>
        <w:noBreakHyphen/>
        <w:t xml:space="preserve">levels, vocational </w:t>
      </w:r>
      <w:proofErr w:type="gramStart"/>
      <w:r>
        <w:rPr>
          <w:shd w:val="clear" w:color="auto" w:fill="FFFFFF"/>
        </w:rPr>
        <w:t>qualifications</w:t>
      </w:r>
      <w:proofErr w:type="gramEnd"/>
      <w:r>
        <w:rPr>
          <w:shd w:val="clear" w:color="auto" w:fill="FFFFFF"/>
        </w:rPr>
        <w:t xml:space="preserve"> or apprenticeships until age 18/1</w:t>
      </w:r>
      <w:r w:rsidR="003C4558">
        <w:rPr>
          <w:shd w:val="clear" w:color="auto" w:fill="FFFFFF"/>
        </w:rPr>
        <w:t>9.</w:t>
      </w:r>
      <w:r>
        <w:rPr>
          <w:shd w:val="clear" w:color="auto" w:fill="FFFFFF"/>
        </w:rPr>
        <w:t xml:space="preserve"> </w:t>
      </w:r>
    </w:p>
    <w:p w14:paraId="71C25E01" w14:textId="77777777" w:rsidR="00345C0A" w:rsidRDefault="00000000">
      <w:pPr>
        <w:pStyle w:val="Heading2"/>
        <w:rPr>
          <w:shd w:val="clear" w:color="auto" w:fill="FFFFFF"/>
        </w:rPr>
      </w:pPr>
      <w:r>
        <w:rPr>
          <w:shd w:val="clear" w:color="auto" w:fill="FFFFFF"/>
        </w:rPr>
        <w:lastRenderedPageBreak/>
        <w:t>Primary &amp; preparatory education (ages 5–11)</w:t>
      </w:r>
    </w:p>
    <w:p w14:paraId="489D5329" w14:textId="03AD3D9C" w:rsidR="00345C0A" w:rsidRDefault="00000000">
      <w:pPr>
        <w:pStyle w:val="BodyText"/>
        <w:ind w:left="0" w:right="0"/>
      </w:pPr>
      <w:r>
        <w:rPr>
          <w:shd w:val="clear" w:color="auto" w:fill="FFFFFF"/>
        </w:rPr>
        <w:t xml:space="preserve">Children officially start school at age 5 in Year 1. The </w:t>
      </w:r>
      <w:r>
        <w:rPr>
          <w:rStyle w:val="Strong"/>
          <w:shd w:val="clear" w:color="auto" w:fill="FFFFFF"/>
        </w:rPr>
        <w:t>Key Stage 1</w:t>
      </w:r>
      <w:r>
        <w:rPr>
          <w:shd w:val="clear" w:color="auto" w:fill="FFFFFF"/>
        </w:rPr>
        <w:t xml:space="preserve"> </w:t>
      </w:r>
      <w:r w:rsidR="00C50466">
        <w:rPr>
          <w:shd w:val="clear" w:color="auto" w:fill="FFFFFF"/>
        </w:rPr>
        <w:t xml:space="preserve">(KS1) </w:t>
      </w:r>
      <w:r>
        <w:rPr>
          <w:shd w:val="clear" w:color="auto" w:fill="FFFFFF"/>
        </w:rPr>
        <w:t xml:space="preserve">years </w:t>
      </w:r>
      <w:r w:rsidR="00C50466">
        <w:rPr>
          <w:shd w:val="clear" w:color="auto" w:fill="FFFFFF"/>
        </w:rPr>
        <w:t>(</w:t>
      </w:r>
      <w:r>
        <w:rPr>
          <w:shd w:val="clear" w:color="auto" w:fill="FFFFFF"/>
        </w:rPr>
        <w:t xml:space="preserve">ages 5–7) lay the foundation for literacy and numeracy and include phonics screening and teacher assessments. </w:t>
      </w:r>
      <w:r>
        <w:rPr>
          <w:rStyle w:val="Strong"/>
          <w:shd w:val="clear" w:color="auto" w:fill="FFFFFF"/>
        </w:rPr>
        <w:t>Key Stage 2</w:t>
      </w:r>
      <w:r>
        <w:rPr>
          <w:shd w:val="clear" w:color="auto" w:fill="FFFFFF"/>
        </w:rPr>
        <w:t xml:space="preserve"> </w:t>
      </w:r>
      <w:r w:rsidR="00C50466">
        <w:rPr>
          <w:shd w:val="clear" w:color="auto" w:fill="FFFFFF"/>
        </w:rPr>
        <w:t xml:space="preserve">(KS2) </w:t>
      </w:r>
      <w:r>
        <w:rPr>
          <w:shd w:val="clear" w:color="auto" w:fill="FFFFFF"/>
        </w:rPr>
        <w:t xml:space="preserve">(ages 7–11) builds proficiency in English, mathematics and science and introduces history, geography, </w:t>
      </w:r>
      <w:proofErr w:type="gramStart"/>
      <w:r>
        <w:rPr>
          <w:shd w:val="clear" w:color="auto" w:fill="FFFFFF"/>
        </w:rPr>
        <w:t>languages</w:t>
      </w:r>
      <w:proofErr w:type="gramEnd"/>
      <w:r>
        <w:rPr>
          <w:shd w:val="clear" w:color="auto" w:fill="FFFFFF"/>
        </w:rPr>
        <w:t xml:space="preserve"> and arts. At the end of Year 6 students take </w:t>
      </w:r>
      <w:proofErr w:type="spellStart"/>
      <w:r>
        <w:rPr>
          <w:shd w:val="clear" w:color="auto" w:fill="FFFFFF"/>
        </w:rPr>
        <w:t>standardised</w:t>
      </w:r>
      <w:proofErr w:type="spellEnd"/>
      <w:r>
        <w:rPr>
          <w:shd w:val="clear" w:color="auto" w:fill="FFFFFF"/>
        </w:rPr>
        <w:t xml:space="preserve"> tests in English and </w:t>
      </w:r>
      <w:proofErr w:type="spellStart"/>
      <w:r>
        <w:rPr>
          <w:shd w:val="clear" w:color="auto" w:fill="FFFFFF"/>
        </w:rPr>
        <w:t>maths</w:t>
      </w:r>
      <w:proofErr w:type="spellEnd"/>
      <w:r>
        <w:rPr>
          <w:shd w:val="clear" w:color="auto" w:fill="FFFFFF"/>
        </w:rPr>
        <w:t xml:space="preserve"> known as </w:t>
      </w:r>
      <w:r>
        <w:rPr>
          <w:rStyle w:val="Emphasis"/>
          <w:shd w:val="clear" w:color="auto" w:fill="FFFFFF"/>
        </w:rPr>
        <w:t>National Curriculum assessments</w:t>
      </w:r>
      <w:r>
        <w:rPr>
          <w:shd w:val="clear" w:color="auto" w:fill="FFFFFF"/>
        </w:rPr>
        <w:t xml:space="preserve"> or SATs.</w:t>
      </w:r>
    </w:p>
    <w:p w14:paraId="75A62593" w14:textId="3650FA11" w:rsidR="00C50466" w:rsidRDefault="00000000">
      <w:pPr>
        <w:pStyle w:val="BodyText"/>
        <w:ind w:left="0" w:right="0"/>
        <w:rPr>
          <w:shd w:val="clear" w:color="auto" w:fill="FFFFFF"/>
        </w:rPr>
      </w:pPr>
      <w:r>
        <w:rPr>
          <w:shd w:val="clear" w:color="auto" w:fill="FFFFFF"/>
        </w:rPr>
        <w:t xml:space="preserve">Many families choose </w:t>
      </w:r>
      <w:r>
        <w:rPr>
          <w:rStyle w:val="Strong"/>
          <w:shd w:val="clear" w:color="auto" w:fill="FFFFFF"/>
        </w:rPr>
        <w:t>independent preparatory schools</w:t>
      </w:r>
      <w:r>
        <w:rPr>
          <w:shd w:val="clear" w:color="auto" w:fill="FFFFFF"/>
        </w:rPr>
        <w:t xml:space="preserve"> for </w:t>
      </w:r>
      <w:r w:rsidR="00C50466">
        <w:rPr>
          <w:shd w:val="clear" w:color="auto" w:fill="FFFFFF"/>
        </w:rPr>
        <w:t>KS1 and KS2</w:t>
      </w:r>
      <w:r>
        <w:rPr>
          <w:shd w:val="clear" w:color="auto" w:fill="FFFFFF"/>
        </w:rPr>
        <w:t xml:space="preserve">. </w:t>
      </w:r>
      <w:r w:rsidR="00C50466">
        <w:rPr>
          <w:shd w:val="clear" w:color="auto" w:fill="FFFFFF"/>
        </w:rPr>
        <w:t xml:space="preserve">Preparatory schools can be day schools or boarding schools, and they provide small classes, </w:t>
      </w:r>
      <w:proofErr w:type="spellStart"/>
      <w:r w:rsidR="00C50466">
        <w:rPr>
          <w:shd w:val="clear" w:color="auto" w:fill="FFFFFF"/>
        </w:rPr>
        <w:t>specialised</w:t>
      </w:r>
      <w:proofErr w:type="spellEnd"/>
      <w:r w:rsidR="00C50466">
        <w:rPr>
          <w:shd w:val="clear" w:color="auto" w:fill="FFFFFF"/>
        </w:rPr>
        <w:t xml:space="preserve"> </w:t>
      </w:r>
      <w:proofErr w:type="gramStart"/>
      <w:r w:rsidR="00C50466">
        <w:rPr>
          <w:shd w:val="clear" w:color="auto" w:fill="FFFFFF"/>
        </w:rPr>
        <w:t>teaching</w:t>
      </w:r>
      <w:proofErr w:type="gramEnd"/>
      <w:r w:rsidR="00C50466">
        <w:rPr>
          <w:shd w:val="clear" w:color="auto" w:fill="FFFFFF"/>
        </w:rPr>
        <w:t xml:space="preserve"> and a wide range of co</w:t>
      </w:r>
      <w:r w:rsidR="00C50466">
        <w:rPr>
          <w:shd w:val="clear" w:color="auto" w:fill="FFFFFF"/>
        </w:rPr>
        <w:noBreakHyphen/>
        <w:t>curricular opportunities.</w:t>
      </w:r>
      <w:r w:rsidR="00C50466">
        <w:rPr>
          <w:shd w:val="clear" w:color="auto" w:fill="FFFFFF"/>
        </w:rPr>
        <w:t xml:space="preserve"> </w:t>
      </w:r>
      <w:proofErr w:type="gramStart"/>
      <w:r>
        <w:rPr>
          <w:shd w:val="clear" w:color="auto" w:fill="FFFFFF"/>
        </w:rPr>
        <w:t>These</w:t>
      </w:r>
      <w:proofErr w:type="gramEnd"/>
      <w:r>
        <w:rPr>
          <w:shd w:val="clear" w:color="auto" w:fill="FFFFFF"/>
        </w:rPr>
        <w:t xml:space="preserve"> schools often follow the </w:t>
      </w:r>
      <w:r>
        <w:rPr>
          <w:rStyle w:val="Emphasis"/>
          <w:shd w:val="clear" w:color="auto" w:fill="FFFFFF"/>
        </w:rPr>
        <w:t>Common Entrance</w:t>
      </w:r>
      <w:r>
        <w:rPr>
          <w:shd w:val="clear" w:color="auto" w:fill="FFFFFF"/>
        </w:rPr>
        <w:t xml:space="preserve"> curriculum, which deepens subject knowledge and encourages critical thinking beyond the national curriculum. </w:t>
      </w:r>
    </w:p>
    <w:p w14:paraId="568C1D0A" w14:textId="047A42DD" w:rsidR="00345C0A" w:rsidRDefault="00C50466">
      <w:pPr>
        <w:pStyle w:val="BodyText"/>
        <w:ind w:left="0" w:right="0"/>
      </w:pPr>
      <w:r>
        <w:rPr>
          <w:shd w:val="clear" w:color="auto" w:fill="FFFFFF"/>
        </w:rPr>
        <w:t>At age 11 or 13, depending on the requirements of the senior school, p</w:t>
      </w:r>
      <w:r w:rsidR="00000000">
        <w:rPr>
          <w:shd w:val="clear" w:color="auto" w:fill="FFFFFF"/>
        </w:rPr>
        <w:t xml:space="preserve">upils typically sit entrance exams </w:t>
      </w:r>
      <w:r>
        <w:rPr>
          <w:shd w:val="clear" w:color="auto" w:fill="FFFFFF"/>
        </w:rPr>
        <w:t>for</w:t>
      </w:r>
      <w:r w:rsidR="00000000">
        <w:rPr>
          <w:shd w:val="clear" w:color="auto" w:fill="FFFFFF"/>
        </w:rPr>
        <w:t xml:space="preserve"> admission to senior schools. </w:t>
      </w:r>
    </w:p>
    <w:p w14:paraId="5842FDF8" w14:textId="77777777" w:rsidR="00345C0A" w:rsidRDefault="00000000">
      <w:pPr>
        <w:pStyle w:val="Heading2"/>
        <w:rPr>
          <w:shd w:val="clear" w:color="auto" w:fill="FFFFFF"/>
        </w:rPr>
      </w:pPr>
      <w:r>
        <w:rPr>
          <w:shd w:val="clear" w:color="auto" w:fill="FFFFFF"/>
        </w:rPr>
        <w:t>Secondary education &amp; GCSEs (ages 11–16)</w:t>
      </w:r>
    </w:p>
    <w:p w14:paraId="1D15FE2B" w14:textId="6B7D868B" w:rsidR="00345C0A" w:rsidRDefault="00000000">
      <w:pPr>
        <w:pStyle w:val="BodyText"/>
        <w:ind w:left="0" w:right="0"/>
      </w:pPr>
      <w:r>
        <w:rPr>
          <w:shd w:val="clear" w:color="auto" w:fill="FFFFFF"/>
        </w:rPr>
        <w:t xml:space="preserve">Secondary school begins with </w:t>
      </w:r>
      <w:r>
        <w:rPr>
          <w:rStyle w:val="Strong"/>
          <w:shd w:val="clear" w:color="auto" w:fill="FFFFFF"/>
        </w:rPr>
        <w:t>Key Stage 3</w:t>
      </w:r>
      <w:r>
        <w:rPr>
          <w:shd w:val="clear" w:color="auto" w:fill="FFFFFF"/>
        </w:rPr>
        <w:t xml:space="preserve"> (Years 7–9, ages 11–14). Students study a broad curriculum including humanities, languages, </w:t>
      </w:r>
      <w:proofErr w:type="gramStart"/>
      <w:r>
        <w:rPr>
          <w:shd w:val="clear" w:color="auto" w:fill="FFFFFF"/>
        </w:rPr>
        <w:t>sciences</w:t>
      </w:r>
      <w:proofErr w:type="gramEnd"/>
      <w:r>
        <w:rPr>
          <w:shd w:val="clear" w:color="auto" w:fill="FFFFFF"/>
        </w:rPr>
        <w:t xml:space="preserve"> and the arts. During </w:t>
      </w:r>
      <w:r>
        <w:rPr>
          <w:rStyle w:val="Strong"/>
          <w:shd w:val="clear" w:color="auto" w:fill="FFFFFF"/>
        </w:rPr>
        <w:t>Key Stage 4</w:t>
      </w:r>
      <w:r>
        <w:rPr>
          <w:shd w:val="clear" w:color="auto" w:fill="FFFFFF"/>
        </w:rPr>
        <w:t xml:space="preserve"> (Years 10–11, ages 14–16) they prepare for their </w:t>
      </w:r>
      <w:r>
        <w:rPr>
          <w:rStyle w:val="Strong"/>
          <w:shd w:val="clear" w:color="auto" w:fill="FFFFFF"/>
        </w:rPr>
        <w:t>GCSE</w:t>
      </w:r>
      <w:r>
        <w:rPr>
          <w:shd w:val="clear" w:color="auto" w:fill="FFFFFF"/>
        </w:rPr>
        <w:t xml:space="preserve"> examinations, typically choosing 8–10 subjects that suit their interests and future goals. GCSEs are graded on a 9–1 scale; grades 4–5 represent a standard pass, while grades 7–9 indicate high achievement.</w:t>
      </w:r>
    </w:p>
    <w:p w14:paraId="6FC480C0" w14:textId="499F682C" w:rsidR="00345C0A" w:rsidRDefault="00000000">
      <w:pPr>
        <w:pStyle w:val="BodyText"/>
        <w:ind w:left="0" w:right="0"/>
        <w:rPr>
          <w:shd w:val="clear" w:color="auto" w:fill="FFFFFF"/>
        </w:rPr>
      </w:pPr>
      <w:r>
        <w:rPr>
          <w:shd w:val="clear" w:color="auto" w:fill="FFFFFF"/>
        </w:rPr>
        <w:t xml:space="preserve">International pupils attending on a Child Student visa must study at an </w:t>
      </w:r>
      <w:r>
        <w:rPr>
          <w:rStyle w:val="Strong"/>
          <w:shd w:val="clear" w:color="auto" w:fill="FFFFFF"/>
        </w:rPr>
        <w:t>independent school</w:t>
      </w:r>
      <w:r>
        <w:rPr>
          <w:shd w:val="clear" w:color="auto" w:fill="FFFFFF"/>
        </w:rPr>
        <w:t xml:space="preserve"> or college that holds a student sponsor </w:t>
      </w:r>
      <w:proofErr w:type="spellStart"/>
      <w:r>
        <w:rPr>
          <w:shd w:val="clear" w:color="auto" w:fill="FFFFFF"/>
        </w:rPr>
        <w:t>licence</w:t>
      </w:r>
      <w:proofErr w:type="spellEnd"/>
      <w:r>
        <w:rPr>
          <w:shd w:val="clear" w:color="auto" w:fill="FFFFFF"/>
        </w:rPr>
        <w:t xml:space="preserve">. These schools often offer both day and boarding options and provide excellent pastoral care. Students receive </w:t>
      </w:r>
      <w:proofErr w:type="spellStart"/>
      <w:r>
        <w:rPr>
          <w:shd w:val="clear" w:color="auto" w:fill="FFFFFF"/>
        </w:rPr>
        <w:t>personalised</w:t>
      </w:r>
      <w:proofErr w:type="spellEnd"/>
      <w:r>
        <w:rPr>
          <w:shd w:val="clear" w:color="auto" w:fill="FFFFFF"/>
        </w:rPr>
        <w:t xml:space="preserve"> guidance for subject selection and university preparation. Admission usually requires prior school reports, entrance assessments and an interview.</w:t>
      </w:r>
    </w:p>
    <w:p w14:paraId="036C4C8F" w14:textId="77777777" w:rsidR="00C50466" w:rsidRDefault="00C50466">
      <w:pPr>
        <w:pStyle w:val="BodyText"/>
        <w:ind w:left="0" w:right="0"/>
      </w:pPr>
    </w:p>
    <w:p w14:paraId="608C2A61" w14:textId="77777777" w:rsidR="00345C0A" w:rsidRDefault="00000000">
      <w:pPr>
        <w:pStyle w:val="Heading2"/>
        <w:rPr>
          <w:shd w:val="clear" w:color="auto" w:fill="FFFFFF"/>
        </w:rPr>
      </w:pPr>
      <w:r>
        <w:rPr>
          <w:shd w:val="clear" w:color="auto" w:fill="FFFFFF"/>
        </w:rPr>
        <w:lastRenderedPageBreak/>
        <w:t>Sixth form &amp; post</w:t>
      </w:r>
      <w:r>
        <w:rPr>
          <w:shd w:val="clear" w:color="auto" w:fill="FFFFFF"/>
        </w:rPr>
        <w:noBreakHyphen/>
        <w:t>16 pathways (ages 16–19)</w:t>
      </w:r>
    </w:p>
    <w:p w14:paraId="7C42A2FA" w14:textId="6CC1C4FE" w:rsidR="00345C0A" w:rsidRDefault="00000000">
      <w:pPr>
        <w:pStyle w:val="BodyText"/>
        <w:ind w:left="0" w:right="0"/>
      </w:pPr>
      <w:r>
        <w:rPr>
          <w:rStyle w:val="Strong"/>
          <w:shd w:val="clear" w:color="auto" w:fill="FFFFFF"/>
        </w:rPr>
        <w:t>Key Stage 5</w:t>
      </w:r>
      <w:r>
        <w:rPr>
          <w:shd w:val="clear" w:color="auto" w:fill="FFFFFF"/>
        </w:rPr>
        <w:t xml:space="preserve"> covers Years 12–13. Students choose between academic and vocational routes. The most common academic pathway is </w:t>
      </w:r>
      <w:r>
        <w:rPr>
          <w:rStyle w:val="Strong"/>
          <w:shd w:val="clear" w:color="auto" w:fill="FFFFFF"/>
        </w:rPr>
        <w:t>A</w:t>
      </w:r>
      <w:r>
        <w:rPr>
          <w:rStyle w:val="Strong"/>
          <w:shd w:val="clear" w:color="auto" w:fill="FFFFFF"/>
        </w:rPr>
        <w:noBreakHyphen/>
        <w:t>levels</w:t>
      </w:r>
      <w:r>
        <w:rPr>
          <w:shd w:val="clear" w:color="auto" w:fill="FFFFFF"/>
        </w:rPr>
        <w:t xml:space="preserve">, where pupils </w:t>
      </w:r>
      <w:proofErr w:type="spellStart"/>
      <w:r>
        <w:rPr>
          <w:shd w:val="clear" w:color="auto" w:fill="FFFFFF"/>
        </w:rPr>
        <w:t>specialise</w:t>
      </w:r>
      <w:proofErr w:type="spellEnd"/>
      <w:r>
        <w:rPr>
          <w:shd w:val="clear" w:color="auto" w:fill="FFFFFF"/>
        </w:rPr>
        <w:t xml:space="preserve"> in three or four subjects over two years, with exams at the end of Year 13. Alternative options include </w:t>
      </w:r>
      <w:r>
        <w:rPr>
          <w:rStyle w:val="Strong"/>
          <w:shd w:val="clear" w:color="auto" w:fill="FFFFFF"/>
        </w:rPr>
        <w:t>BTEC</w:t>
      </w:r>
      <w:r>
        <w:rPr>
          <w:shd w:val="clear" w:color="auto" w:fill="FFFFFF"/>
        </w:rPr>
        <w:t xml:space="preserve"> diplomas, the International </w:t>
      </w:r>
      <w:proofErr w:type="gramStart"/>
      <w:r>
        <w:rPr>
          <w:shd w:val="clear" w:color="auto" w:fill="FFFFFF"/>
        </w:rPr>
        <w:t>Baccalaureate</w:t>
      </w:r>
      <w:proofErr w:type="gramEnd"/>
      <w:r>
        <w:rPr>
          <w:shd w:val="clear" w:color="auto" w:fill="FFFFFF"/>
        </w:rPr>
        <w:t xml:space="preserve"> or apprenticeships. Results from these qualifications are used for university offers through the UCAS system.</w:t>
      </w:r>
    </w:p>
    <w:p w14:paraId="23734590" w14:textId="1018BEDD" w:rsidR="00345C0A" w:rsidRDefault="00000000">
      <w:pPr>
        <w:pStyle w:val="BodyText"/>
        <w:rPr>
          <w:shd w:val="clear" w:color="auto" w:fill="FFFFFF"/>
        </w:rPr>
      </w:pPr>
      <w:r>
        <w:rPr>
          <w:shd w:val="clear" w:color="auto" w:fill="FFFFFF"/>
        </w:rPr>
        <w:t>Independent sixth</w:t>
      </w:r>
      <w:r>
        <w:rPr>
          <w:shd w:val="clear" w:color="auto" w:fill="FFFFFF"/>
        </w:rPr>
        <w:noBreakHyphen/>
        <w:t>form colleges and boarding schools prepar</w:t>
      </w:r>
      <w:r w:rsidR="00C50466">
        <w:rPr>
          <w:shd w:val="clear" w:color="auto" w:fill="FFFFFF"/>
        </w:rPr>
        <w:t>e</w:t>
      </w:r>
      <w:r>
        <w:rPr>
          <w:shd w:val="clear" w:color="auto" w:fill="FFFFFF"/>
        </w:rPr>
        <w:t xml:space="preserve"> students for competitive universities. Pupils receive support in writing personal statements, selecting </w:t>
      </w:r>
      <w:proofErr w:type="gramStart"/>
      <w:r>
        <w:rPr>
          <w:shd w:val="clear" w:color="auto" w:fill="FFFFFF"/>
        </w:rPr>
        <w:t>courses</w:t>
      </w:r>
      <w:proofErr w:type="gramEnd"/>
      <w:r>
        <w:rPr>
          <w:shd w:val="clear" w:color="auto" w:fill="FFFFFF"/>
        </w:rPr>
        <w:t xml:space="preserve"> and preparing for admissions tests. Those who complete their A</w:t>
      </w:r>
      <w:r>
        <w:rPr>
          <w:shd w:val="clear" w:color="auto" w:fill="FFFFFF"/>
        </w:rPr>
        <w:noBreakHyphen/>
        <w:t>levels with strong grades can progress to world</w:t>
      </w:r>
      <w:r>
        <w:rPr>
          <w:shd w:val="clear" w:color="auto" w:fill="FFFFFF"/>
        </w:rPr>
        <w:noBreakHyphen/>
        <w:t>renowned universities.</w:t>
      </w:r>
    </w:p>
    <w:p w14:paraId="184058CA" w14:textId="77777777" w:rsidR="00345C0A" w:rsidRDefault="00000000">
      <w:pPr>
        <w:pStyle w:val="Heading2"/>
        <w:rPr>
          <w:shd w:val="clear" w:color="auto" w:fill="FFFFFF"/>
        </w:rPr>
      </w:pPr>
      <w:r>
        <w:rPr>
          <w:shd w:val="clear" w:color="auto" w:fill="FFFFFF"/>
        </w:rPr>
        <w:t>Independent schools &amp; visas</w:t>
      </w:r>
    </w:p>
    <w:p w14:paraId="779B0F0D" w14:textId="753CBA9E" w:rsidR="00345C0A" w:rsidRDefault="00000000">
      <w:pPr>
        <w:pStyle w:val="BodyText"/>
        <w:ind w:left="0" w:right="0"/>
      </w:pPr>
      <w:r>
        <w:rPr>
          <w:shd w:val="clear" w:color="auto" w:fill="FFFFFF"/>
        </w:rPr>
        <w:t xml:space="preserve">The distinction between </w:t>
      </w:r>
      <w:r>
        <w:rPr>
          <w:rStyle w:val="Strong"/>
          <w:shd w:val="clear" w:color="auto" w:fill="FFFFFF"/>
        </w:rPr>
        <w:t>state</w:t>
      </w:r>
      <w:r>
        <w:rPr>
          <w:rStyle w:val="Strong"/>
          <w:shd w:val="clear" w:color="auto" w:fill="FFFFFF"/>
        </w:rPr>
        <w:noBreakHyphen/>
        <w:t>funded</w:t>
      </w:r>
      <w:r>
        <w:rPr>
          <w:shd w:val="clear" w:color="auto" w:fill="FFFFFF"/>
        </w:rPr>
        <w:t xml:space="preserve"> and </w:t>
      </w:r>
      <w:r>
        <w:rPr>
          <w:rStyle w:val="Strong"/>
          <w:shd w:val="clear" w:color="auto" w:fill="FFFFFF"/>
        </w:rPr>
        <w:t>independent</w:t>
      </w:r>
      <w:r>
        <w:rPr>
          <w:shd w:val="clear" w:color="auto" w:fill="FFFFFF"/>
        </w:rPr>
        <w:t xml:space="preserve"> schools is crucial for international families. Children who already live in the UK may attend state schools provided they have the right immigration status. However, children entering the UK on Child Student or Student visas must study at a licensed </w:t>
      </w:r>
      <w:r>
        <w:rPr>
          <w:rStyle w:val="Strong"/>
          <w:shd w:val="clear" w:color="auto" w:fill="FFFFFF"/>
        </w:rPr>
        <w:t>independent school, sixth form college or further education college</w:t>
      </w:r>
      <w:r>
        <w:rPr>
          <w:shd w:val="clear" w:color="auto" w:fill="FFFFFF"/>
        </w:rPr>
        <w:t>. They cannot lawfully attend a state</w:t>
      </w:r>
      <w:r>
        <w:rPr>
          <w:shd w:val="clear" w:color="auto" w:fill="FFFFFF"/>
        </w:rPr>
        <w:noBreakHyphen/>
        <w:t xml:space="preserve">funded school under these visa conditions. Parents should </w:t>
      </w:r>
      <w:r w:rsidR="00C50466">
        <w:rPr>
          <w:shd w:val="clear" w:color="auto" w:fill="FFFFFF"/>
        </w:rPr>
        <w:t xml:space="preserve">apply to </w:t>
      </w:r>
      <w:r>
        <w:rPr>
          <w:shd w:val="clear" w:color="auto" w:fill="FFFFFF"/>
        </w:rPr>
        <w:t xml:space="preserve">their chosen school directly; if it accepts the child, the school will issue a </w:t>
      </w:r>
      <w:r>
        <w:rPr>
          <w:rStyle w:val="Strong"/>
          <w:shd w:val="clear" w:color="auto" w:fill="FFFFFF"/>
        </w:rPr>
        <w:t>Confirmation of Acceptance for Studies (CAS)</w:t>
      </w:r>
      <w:r>
        <w:rPr>
          <w:shd w:val="clear" w:color="auto" w:fill="FFFFFF"/>
        </w:rPr>
        <w:t xml:space="preserve"> reference number, which is required for the visa application.</w:t>
      </w:r>
    </w:p>
    <w:p w14:paraId="129D657A" w14:textId="35D03842" w:rsidR="00345C0A" w:rsidRDefault="00000000">
      <w:pPr>
        <w:pStyle w:val="BodyText"/>
        <w:rPr>
          <w:shd w:val="clear" w:color="auto" w:fill="FFFFFF"/>
        </w:rPr>
      </w:pPr>
      <w:r>
        <w:rPr>
          <w:shd w:val="clear" w:color="auto" w:fill="FFFFFF"/>
        </w:rPr>
        <w:t xml:space="preserve">Independent schools in the UK are diverse. Some are day schools serving local and expatriate families; others are </w:t>
      </w:r>
      <w:r>
        <w:rPr>
          <w:rStyle w:val="Strong"/>
          <w:shd w:val="clear" w:color="auto" w:fill="FFFFFF"/>
        </w:rPr>
        <w:t>boarding schools</w:t>
      </w:r>
      <w:r>
        <w:rPr>
          <w:shd w:val="clear" w:color="auto" w:fill="FFFFFF"/>
        </w:rPr>
        <w:t xml:space="preserve"> with pupils from around the world. They offer outstanding facilities, small class sizes and extensive extracurricular activities ranging from orchestras and sports teams to STEM clubs and debate. Many of the top boarding schools feed into the UK’s most prestigious universities.</w:t>
      </w:r>
    </w:p>
    <w:p w14:paraId="100B155F" w14:textId="143F8560" w:rsidR="00C50466" w:rsidRDefault="00C50466">
      <w:pPr>
        <w:pStyle w:val="BodyText"/>
        <w:rPr>
          <w:shd w:val="clear" w:color="auto" w:fill="FFFFFF"/>
        </w:rPr>
      </w:pPr>
    </w:p>
    <w:p w14:paraId="63EC7FA0" w14:textId="77777777" w:rsidR="00C50466" w:rsidRDefault="00C50466">
      <w:pPr>
        <w:pStyle w:val="BodyText"/>
      </w:pPr>
    </w:p>
    <w:p w14:paraId="3B4AC79F" w14:textId="77777777" w:rsidR="00345C0A" w:rsidRDefault="00000000">
      <w:pPr>
        <w:pStyle w:val="Heading2"/>
        <w:rPr>
          <w:shd w:val="clear" w:color="auto" w:fill="FFFFFF"/>
        </w:rPr>
      </w:pPr>
      <w:r>
        <w:rPr>
          <w:shd w:val="clear" w:color="auto" w:fill="FFFFFF"/>
        </w:rPr>
        <w:lastRenderedPageBreak/>
        <w:t>Why choose a UK education?</w:t>
      </w:r>
    </w:p>
    <w:p w14:paraId="3ED8F17C" w14:textId="24D6741A" w:rsidR="00345C0A" w:rsidRDefault="00000000">
      <w:pPr>
        <w:pStyle w:val="BodyText"/>
        <w:ind w:left="0" w:right="0"/>
      </w:pPr>
      <w:r>
        <w:rPr>
          <w:shd w:val="clear" w:color="auto" w:fill="FFFFFF"/>
        </w:rPr>
        <w:t xml:space="preserve">The UK’s reputation for excellence is anchored by its </w:t>
      </w:r>
      <w:r>
        <w:rPr>
          <w:rStyle w:val="Strong"/>
          <w:shd w:val="clear" w:color="auto" w:fill="FFFFFF"/>
        </w:rPr>
        <w:t>world</w:t>
      </w:r>
      <w:r>
        <w:rPr>
          <w:rStyle w:val="Strong"/>
          <w:shd w:val="clear" w:color="auto" w:fill="FFFFFF"/>
        </w:rPr>
        <w:noBreakHyphen/>
        <w:t>class institutions</w:t>
      </w:r>
      <w:r>
        <w:rPr>
          <w:shd w:val="clear" w:color="auto" w:fill="FFFFFF"/>
        </w:rPr>
        <w:t xml:space="preserve">. Universities such as Oxford and Cambridge rank among the top universities globally, delivering rigorous academics and producing renowned leaders and scholars. UK universities adopt innovative teaching methods—seminars, </w:t>
      </w:r>
      <w:proofErr w:type="gramStart"/>
      <w:r>
        <w:rPr>
          <w:shd w:val="clear" w:color="auto" w:fill="FFFFFF"/>
        </w:rPr>
        <w:t>tutorials</w:t>
      </w:r>
      <w:proofErr w:type="gramEnd"/>
      <w:r>
        <w:rPr>
          <w:shd w:val="clear" w:color="auto" w:fill="FFFFFF"/>
        </w:rPr>
        <w:t xml:space="preserve"> and practical workshops—that cultivate critical thinking and independent learning. They receive substantial research funding, giving students the chance to participate in cutting</w:t>
      </w:r>
      <w:r>
        <w:rPr>
          <w:shd w:val="clear" w:color="auto" w:fill="FFFFFF"/>
        </w:rPr>
        <w:noBreakHyphen/>
        <w:t>edge projects across discipline</w:t>
      </w:r>
      <w:r w:rsidR="00C50466">
        <w:rPr>
          <w:shd w:val="clear" w:color="auto" w:fill="FFFFFF"/>
        </w:rPr>
        <w:t xml:space="preserve">s </w:t>
      </w:r>
      <w:r>
        <w:rPr>
          <w:shd w:val="clear" w:color="auto" w:fill="FFFFFF"/>
        </w:rPr>
        <w:t>and contribute to the 14 percent share of the world’s most highly cited research produced in the UK.</w:t>
      </w:r>
    </w:p>
    <w:p w14:paraId="23B4E9E8" w14:textId="6135AB62" w:rsidR="00345C0A" w:rsidRDefault="00000000">
      <w:pPr>
        <w:pStyle w:val="BodyText"/>
        <w:ind w:left="0" w:right="0"/>
      </w:pPr>
      <w:r>
        <w:rPr>
          <w:shd w:val="clear" w:color="auto" w:fill="FFFFFF"/>
        </w:rPr>
        <w:t xml:space="preserve">The UK is a </w:t>
      </w:r>
      <w:r>
        <w:rPr>
          <w:rStyle w:val="Strong"/>
          <w:shd w:val="clear" w:color="auto" w:fill="FFFFFF"/>
        </w:rPr>
        <w:t>multicultural society</w:t>
      </w:r>
      <w:r>
        <w:rPr>
          <w:shd w:val="clear" w:color="auto" w:fill="FFFFFF"/>
        </w:rPr>
        <w:t>—about 16 % of the population was born outside the country, and universities host students from a wide range of backgrounds. This diversity enriches the learning experience and fosters global understanding. International students may work up to 20 hours per week during term time and can stay in the UK for up to two years on a post</w:t>
      </w:r>
      <w:r>
        <w:rPr>
          <w:shd w:val="clear" w:color="auto" w:fill="FFFFFF"/>
        </w:rPr>
        <w:noBreakHyphen/>
        <w:t>study work visa after graduation, gaining valuable professional experience.</w:t>
      </w:r>
    </w:p>
    <w:p w14:paraId="6E7E242C" w14:textId="5562E1A7" w:rsidR="00345C0A" w:rsidRDefault="00000000">
      <w:pPr>
        <w:pStyle w:val="BodyText"/>
        <w:ind w:left="0" w:right="0"/>
        <w:rPr>
          <w:shd w:val="clear" w:color="auto" w:fill="FFFFFF"/>
        </w:rPr>
      </w:pPr>
      <w:r>
        <w:rPr>
          <w:shd w:val="clear" w:color="auto" w:fill="FFFFFF"/>
        </w:rPr>
        <w:t xml:space="preserve">Degrees from UK universities are </w:t>
      </w:r>
      <w:r>
        <w:rPr>
          <w:rStyle w:val="Strong"/>
          <w:shd w:val="clear" w:color="auto" w:fill="FFFFFF"/>
        </w:rPr>
        <w:t xml:space="preserve">internationally </w:t>
      </w:r>
      <w:proofErr w:type="spellStart"/>
      <w:r>
        <w:rPr>
          <w:rStyle w:val="Strong"/>
          <w:shd w:val="clear" w:color="auto" w:fill="FFFFFF"/>
        </w:rPr>
        <w:t>recognised</w:t>
      </w:r>
      <w:proofErr w:type="spellEnd"/>
      <w:r>
        <w:rPr>
          <w:shd w:val="clear" w:color="auto" w:fill="FFFFFF"/>
        </w:rPr>
        <w:t xml:space="preserve"> thanks to rigorous quality assurance frameworks such as the Quality Assurance Agency for Higher Education (QAA). Employers around the world value these qualifications, which enhances graduates’ career prospects. The country’s long academic heritage, cutting</w:t>
      </w:r>
      <w:r>
        <w:rPr>
          <w:shd w:val="clear" w:color="auto" w:fill="FFFFFF"/>
        </w:rPr>
        <w:noBreakHyphen/>
        <w:t>edge research environment and cultural vibrancy make it a compelling destination for families seeking an education that opens doors worldwide.</w:t>
      </w:r>
    </w:p>
    <w:p w14:paraId="4D77ACDE" w14:textId="032F9B64" w:rsidR="00C50466" w:rsidRDefault="00C50466">
      <w:pPr>
        <w:pStyle w:val="BodyText"/>
        <w:ind w:left="0" w:right="0"/>
        <w:rPr>
          <w:shd w:val="clear" w:color="auto" w:fill="FFFFFF"/>
        </w:rPr>
      </w:pPr>
    </w:p>
    <w:p w14:paraId="5468FD87" w14:textId="5AD318B5" w:rsidR="00C50466" w:rsidRDefault="00C50466">
      <w:pPr>
        <w:pStyle w:val="BodyText"/>
        <w:ind w:left="0" w:right="0"/>
        <w:rPr>
          <w:shd w:val="clear" w:color="auto" w:fill="FFFFFF"/>
        </w:rPr>
      </w:pPr>
    </w:p>
    <w:p w14:paraId="6F67C17A" w14:textId="7A764A78" w:rsidR="00C50466" w:rsidRDefault="00C50466">
      <w:pPr>
        <w:pStyle w:val="BodyText"/>
        <w:ind w:left="0" w:right="0"/>
        <w:rPr>
          <w:shd w:val="clear" w:color="auto" w:fill="FFFFFF"/>
        </w:rPr>
      </w:pPr>
    </w:p>
    <w:p w14:paraId="2713E631" w14:textId="77777777" w:rsidR="00C50466" w:rsidRDefault="00C50466">
      <w:pPr>
        <w:pStyle w:val="BodyText"/>
        <w:ind w:left="0" w:right="0"/>
      </w:pPr>
    </w:p>
    <w:p w14:paraId="783EA358" w14:textId="77777777" w:rsidR="00345C0A" w:rsidRDefault="00000000">
      <w:pPr>
        <w:pStyle w:val="Heading2"/>
        <w:rPr>
          <w:shd w:val="clear" w:color="auto" w:fill="FFFFFF"/>
        </w:rPr>
      </w:pPr>
      <w:r>
        <w:rPr>
          <w:shd w:val="clear" w:color="auto" w:fill="FFFFFF"/>
        </w:rPr>
        <w:lastRenderedPageBreak/>
        <w:t xml:space="preserve">Key stages </w:t>
      </w:r>
      <w:proofErr w:type="gramStart"/>
      <w:r>
        <w:rPr>
          <w:shd w:val="clear" w:color="auto" w:fill="FFFFFF"/>
        </w:rPr>
        <w:t>at a glance</w:t>
      </w:r>
      <w:proofErr w:type="gramEnd"/>
    </w:p>
    <w:tbl>
      <w:tblPr>
        <w:tblW w:w="10206" w:type="dxa"/>
        <w:tblLayout w:type="fixed"/>
        <w:tblCellMar>
          <w:top w:w="28" w:type="dxa"/>
          <w:left w:w="28" w:type="dxa"/>
          <w:bottom w:w="28" w:type="dxa"/>
          <w:right w:w="28" w:type="dxa"/>
        </w:tblCellMar>
        <w:tblLook w:val="04A0" w:firstRow="1" w:lastRow="0" w:firstColumn="1" w:lastColumn="0" w:noHBand="0" w:noVBand="1"/>
      </w:tblPr>
      <w:tblGrid>
        <w:gridCol w:w="1843"/>
        <w:gridCol w:w="1189"/>
        <w:gridCol w:w="3481"/>
        <w:gridCol w:w="3693"/>
      </w:tblGrid>
      <w:tr w:rsidR="00C50466" w14:paraId="193EEE0E" w14:textId="77777777" w:rsidTr="00C50466">
        <w:trPr>
          <w:tblHeader/>
        </w:trPr>
        <w:tc>
          <w:tcPr>
            <w:tcW w:w="1843" w:type="dxa"/>
            <w:vAlign w:val="center"/>
          </w:tcPr>
          <w:p w14:paraId="160D4E73" w14:textId="77777777" w:rsidR="00345C0A" w:rsidRDefault="00000000" w:rsidP="00C50466">
            <w:pPr>
              <w:pStyle w:val="TableHeading"/>
              <w:ind w:right="0"/>
            </w:pPr>
            <w:r>
              <w:t>Stage</w:t>
            </w:r>
          </w:p>
        </w:tc>
        <w:tc>
          <w:tcPr>
            <w:tcW w:w="1189" w:type="dxa"/>
            <w:vAlign w:val="center"/>
          </w:tcPr>
          <w:p w14:paraId="17873F69" w14:textId="77777777" w:rsidR="00345C0A" w:rsidRDefault="00000000">
            <w:pPr>
              <w:pStyle w:val="TableHeading"/>
            </w:pPr>
            <w:r>
              <w:t>Ages</w:t>
            </w:r>
          </w:p>
        </w:tc>
        <w:tc>
          <w:tcPr>
            <w:tcW w:w="3481" w:type="dxa"/>
            <w:vAlign w:val="center"/>
          </w:tcPr>
          <w:p w14:paraId="3A986A60" w14:textId="77777777" w:rsidR="00345C0A" w:rsidRDefault="00000000">
            <w:pPr>
              <w:pStyle w:val="TableHeading"/>
            </w:pPr>
            <w:r>
              <w:t>Typical qualifications</w:t>
            </w:r>
          </w:p>
        </w:tc>
        <w:tc>
          <w:tcPr>
            <w:tcW w:w="3693" w:type="dxa"/>
            <w:vAlign w:val="center"/>
          </w:tcPr>
          <w:p w14:paraId="0435A671" w14:textId="77777777" w:rsidR="00345C0A" w:rsidRDefault="00000000" w:rsidP="00C50466">
            <w:pPr>
              <w:pStyle w:val="TableHeading"/>
              <w:tabs>
                <w:tab w:val="left" w:pos="3807"/>
              </w:tabs>
            </w:pPr>
            <w:r>
              <w:t>Notes for international students</w:t>
            </w:r>
          </w:p>
        </w:tc>
      </w:tr>
      <w:tr w:rsidR="00C50466" w14:paraId="62D73192" w14:textId="77777777" w:rsidTr="00C50466">
        <w:tc>
          <w:tcPr>
            <w:tcW w:w="1843" w:type="dxa"/>
            <w:vAlign w:val="center"/>
          </w:tcPr>
          <w:p w14:paraId="1E3F60FC" w14:textId="77777777" w:rsidR="00345C0A" w:rsidRDefault="00000000">
            <w:pPr>
              <w:pStyle w:val="TableContents"/>
            </w:pPr>
            <w:r>
              <w:rPr>
                <w:rStyle w:val="Strong"/>
              </w:rPr>
              <w:t>Early Years (EYFS)</w:t>
            </w:r>
          </w:p>
        </w:tc>
        <w:tc>
          <w:tcPr>
            <w:tcW w:w="1189" w:type="dxa"/>
            <w:vAlign w:val="center"/>
          </w:tcPr>
          <w:p w14:paraId="00786B7B" w14:textId="77777777" w:rsidR="00345C0A" w:rsidRDefault="00000000">
            <w:pPr>
              <w:pStyle w:val="TableContents"/>
            </w:pPr>
            <w:r>
              <w:t>3–5</w:t>
            </w:r>
          </w:p>
        </w:tc>
        <w:tc>
          <w:tcPr>
            <w:tcW w:w="3481" w:type="dxa"/>
            <w:vAlign w:val="center"/>
          </w:tcPr>
          <w:p w14:paraId="26C00F8C" w14:textId="0A46CDA6" w:rsidR="00345C0A" w:rsidRDefault="00000000">
            <w:pPr>
              <w:pStyle w:val="TableContents"/>
              <w:ind w:left="0" w:right="0"/>
            </w:pPr>
            <w:r>
              <w:t>Learning through play; teacher assessments only</w:t>
            </w:r>
          </w:p>
        </w:tc>
        <w:tc>
          <w:tcPr>
            <w:tcW w:w="3693" w:type="dxa"/>
            <w:vAlign w:val="center"/>
          </w:tcPr>
          <w:p w14:paraId="31213ABD" w14:textId="77777777" w:rsidR="00345C0A" w:rsidRDefault="00000000">
            <w:pPr>
              <w:pStyle w:val="TableContents"/>
            </w:pPr>
            <w:r>
              <w:t>Nursery or reception class; independent pre</w:t>
            </w:r>
            <w:r>
              <w:noBreakHyphen/>
              <w:t xml:space="preserve">prep </w:t>
            </w:r>
            <w:proofErr w:type="gramStart"/>
            <w:r>
              <w:t>schools</w:t>
            </w:r>
            <w:proofErr w:type="gramEnd"/>
            <w:r>
              <w:t xml:space="preserve"> welcome international children</w:t>
            </w:r>
          </w:p>
        </w:tc>
      </w:tr>
      <w:tr w:rsidR="00C50466" w14:paraId="60F89431" w14:textId="77777777" w:rsidTr="00C50466">
        <w:tc>
          <w:tcPr>
            <w:tcW w:w="1843" w:type="dxa"/>
            <w:vAlign w:val="center"/>
          </w:tcPr>
          <w:p w14:paraId="7495AC7A" w14:textId="77777777" w:rsidR="00345C0A" w:rsidRDefault="00000000">
            <w:pPr>
              <w:pStyle w:val="TableContents"/>
            </w:pPr>
            <w:r>
              <w:rPr>
                <w:rStyle w:val="Strong"/>
              </w:rPr>
              <w:t>Key Stage 1</w:t>
            </w:r>
          </w:p>
        </w:tc>
        <w:tc>
          <w:tcPr>
            <w:tcW w:w="1189" w:type="dxa"/>
            <w:vAlign w:val="center"/>
          </w:tcPr>
          <w:p w14:paraId="2D06C533" w14:textId="77777777" w:rsidR="00345C0A" w:rsidRDefault="00000000">
            <w:pPr>
              <w:pStyle w:val="TableContents"/>
            </w:pPr>
            <w:r>
              <w:t>5–7</w:t>
            </w:r>
          </w:p>
        </w:tc>
        <w:tc>
          <w:tcPr>
            <w:tcW w:w="3481" w:type="dxa"/>
            <w:vAlign w:val="center"/>
          </w:tcPr>
          <w:p w14:paraId="77C7F92F" w14:textId="594C165F" w:rsidR="00345C0A" w:rsidRDefault="00000000">
            <w:pPr>
              <w:pStyle w:val="TableContents"/>
              <w:ind w:left="0" w:right="0"/>
            </w:pPr>
            <w:r>
              <w:t>Phonics check at age 6; teacher assessments</w:t>
            </w:r>
          </w:p>
        </w:tc>
        <w:tc>
          <w:tcPr>
            <w:tcW w:w="3693" w:type="dxa"/>
            <w:vAlign w:val="center"/>
          </w:tcPr>
          <w:p w14:paraId="4DAF811A" w14:textId="77777777" w:rsidR="00345C0A" w:rsidRDefault="00000000">
            <w:pPr>
              <w:pStyle w:val="TableContents"/>
            </w:pPr>
            <w:r>
              <w:t>Enter Year 1 at age 5; independent preparatory schools often include this stage</w:t>
            </w:r>
          </w:p>
        </w:tc>
      </w:tr>
      <w:tr w:rsidR="00C50466" w14:paraId="6DC406B0" w14:textId="77777777" w:rsidTr="00C50466">
        <w:tc>
          <w:tcPr>
            <w:tcW w:w="1843" w:type="dxa"/>
            <w:vAlign w:val="center"/>
          </w:tcPr>
          <w:p w14:paraId="3B59FC29" w14:textId="77777777" w:rsidR="00345C0A" w:rsidRDefault="00000000">
            <w:pPr>
              <w:pStyle w:val="TableContents"/>
            </w:pPr>
            <w:r>
              <w:rPr>
                <w:rStyle w:val="Strong"/>
              </w:rPr>
              <w:t>Key Stage 2</w:t>
            </w:r>
          </w:p>
        </w:tc>
        <w:tc>
          <w:tcPr>
            <w:tcW w:w="1189" w:type="dxa"/>
            <w:vAlign w:val="center"/>
          </w:tcPr>
          <w:p w14:paraId="062B7B01" w14:textId="77777777" w:rsidR="00345C0A" w:rsidRDefault="00000000">
            <w:pPr>
              <w:pStyle w:val="TableContents"/>
            </w:pPr>
            <w:r>
              <w:t>7–11</w:t>
            </w:r>
          </w:p>
        </w:tc>
        <w:tc>
          <w:tcPr>
            <w:tcW w:w="3481" w:type="dxa"/>
            <w:vAlign w:val="center"/>
          </w:tcPr>
          <w:p w14:paraId="4D1A7B20" w14:textId="2C672FE9" w:rsidR="00345C0A" w:rsidRDefault="00000000">
            <w:pPr>
              <w:pStyle w:val="TableContents"/>
              <w:ind w:left="0" w:right="0"/>
            </w:pPr>
            <w:r>
              <w:t xml:space="preserve">National Curriculum tests (SATs) in English &amp; </w:t>
            </w:r>
            <w:proofErr w:type="spellStart"/>
            <w:r>
              <w:t>maths</w:t>
            </w:r>
            <w:proofErr w:type="spellEnd"/>
            <w:r>
              <w:t xml:space="preserve"> at age 11</w:t>
            </w:r>
          </w:p>
        </w:tc>
        <w:tc>
          <w:tcPr>
            <w:tcW w:w="3693" w:type="dxa"/>
            <w:vAlign w:val="center"/>
          </w:tcPr>
          <w:p w14:paraId="0BF26973" w14:textId="0DA5D577" w:rsidR="00345C0A" w:rsidRPr="00C50466" w:rsidRDefault="00000000" w:rsidP="00C50466">
            <w:pPr>
              <w:pStyle w:val="TableContents"/>
              <w:ind w:left="263" w:right="0"/>
            </w:pPr>
            <w:r>
              <w:t>Common Entrance preparation begins in independent schools</w:t>
            </w:r>
          </w:p>
        </w:tc>
      </w:tr>
      <w:tr w:rsidR="00C50466" w14:paraId="12EF7352" w14:textId="77777777" w:rsidTr="00C50466">
        <w:tc>
          <w:tcPr>
            <w:tcW w:w="1843" w:type="dxa"/>
            <w:vAlign w:val="center"/>
          </w:tcPr>
          <w:p w14:paraId="14418AB2" w14:textId="77777777" w:rsidR="00345C0A" w:rsidRDefault="00000000">
            <w:pPr>
              <w:pStyle w:val="TableContents"/>
            </w:pPr>
            <w:r>
              <w:rPr>
                <w:rStyle w:val="Strong"/>
              </w:rPr>
              <w:t>Key Stage 3</w:t>
            </w:r>
          </w:p>
        </w:tc>
        <w:tc>
          <w:tcPr>
            <w:tcW w:w="1189" w:type="dxa"/>
            <w:vAlign w:val="center"/>
          </w:tcPr>
          <w:p w14:paraId="317292C6" w14:textId="77777777" w:rsidR="00345C0A" w:rsidRDefault="00000000">
            <w:pPr>
              <w:pStyle w:val="TableContents"/>
            </w:pPr>
            <w:r>
              <w:t>11–14</w:t>
            </w:r>
          </w:p>
        </w:tc>
        <w:tc>
          <w:tcPr>
            <w:tcW w:w="3481" w:type="dxa"/>
            <w:vAlign w:val="center"/>
          </w:tcPr>
          <w:p w14:paraId="1375940B" w14:textId="0D381E30" w:rsidR="00345C0A" w:rsidRDefault="00000000">
            <w:pPr>
              <w:pStyle w:val="TableContents"/>
              <w:ind w:left="0" w:right="0"/>
            </w:pPr>
            <w:r>
              <w:t>Teacher assessments; broad subject range</w:t>
            </w:r>
          </w:p>
        </w:tc>
        <w:tc>
          <w:tcPr>
            <w:tcW w:w="3693" w:type="dxa"/>
            <w:vAlign w:val="center"/>
          </w:tcPr>
          <w:p w14:paraId="20BD22DE" w14:textId="77777777" w:rsidR="00345C0A" w:rsidRDefault="00000000">
            <w:pPr>
              <w:pStyle w:val="TableContents"/>
            </w:pPr>
            <w:r>
              <w:t>Entrance to senior boarding schools often occurs at age 13 (Year 9)</w:t>
            </w:r>
          </w:p>
        </w:tc>
      </w:tr>
      <w:tr w:rsidR="00C50466" w14:paraId="5FF0442E" w14:textId="77777777" w:rsidTr="00C50466">
        <w:tc>
          <w:tcPr>
            <w:tcW w:w="1843" w:type="dxa"/>
            <w:vAlign w:val="center"/>
          </w:tcPr>
          <w:p w14:paraId="0727CE02" w14:textId="77777777" w:rsidR="00345C0A" w:rsidRDefault="00000000">
            <w:pPr>
              <w:pStyle w:val="TableContents"/>
            </w:pPr>
            <w:r>
              <w:rPr>
                <w:rStyle w:val="Strong"/>
              </w:rPr>
              <w:t>Key Stage 4</w:t>
            </w:r>
          </w:p>
        </w:tc>
        <w:tc>
          <w:tcPr>
            <w:tcW w:w="1189" w:type="dxa"/>
            <w:vAlign w:val="center"/>
          </w:tcPr>
          <w:p w14:paraId="1D16E591" w14:textId="77777777" w:rsidR="00345C0A" w:rsidRDefault="00000000">
            <w:pPr>
              <w:pStyle w:val="TableContents"/>
            </w:pPr>
            <w:r>
              <w:t>14–16</w:t>
            </w:r>
          </w:p>
        </w:tc>
        <w:tc>
          <w:tcPr>
            <w:tcW w:w="3481" w:type="dxa"/>
            <w:vAlign w:val="center"/>
          </w:tcPr>
          <w:p w14:paraId="1271A00E" w14:textId="18F567F9" w:rsidR="00345C0A" w:rsidRDefault="00000000">
            <w:pPr>
              <w:pStyle w:val="TableContents"/>
              <w:ind w:left="0" w:right="0"/>
            </w:pPr>
            <w:r>
              <w:t>GCSE examinations graded 9–1</w:t>
            </w:r>
          </w:p>
        </w:tc>
        <w:tc>
          <w:tcPr>
            <w:tcW w:w="3693" w:type="dxa"/>
            <w:vAlign w:val="center"/>
          </w:tcPr>
          <w:p w14:paraId="2C15EB4A" w14:textId="77777777" w:rsidR="00345C0A" w:rsidRDefault="00000000">
            <w:pPr>
              <w:pStyle w:val="TableContents"/>
            </w:pPr>
            <w:r>
              <w:t>Independent schools offer strong academic support; required for visa</w:t>
            </w:r>
            <w:r>
              <w:noBreakHyphen/>
              <w:t>sponsored pupils</w:t>
            </w:r>
          </w:p>
        </w:tc>
      </w:tr>
      <w:tr w:rsidR="00C50466" w14:paraId="449B5FAF" w14:textId="77777777" w:rsidTr="00C50466">
        <w:tc>
          <w:tcPr>
            <w:tcW w:w="1843" w:type="dxa"/>
            <w:vAlign w:val="center"/>
          </w:tcPr>
          <w:p w14:paraId="1F7491CC" w14:textId="77777777" w:rsidR="00345C0A" w:rsidRDefault="00000000">
            <w:pPr>
              <w:pStyle w:val="TableContents"/>
            </w:pPr>
            <w:r>
              <w:rPr>
                <w:rStyle w:val="Strong"/>
              </w:rPr>
              <w:t>Key Stage 5</w:t>
            </w:r>
          </w:p>
        </w:tc>
        <w:tc>
          <w:tcPr>
            <w:tcW w:w="1189" w:type="dxa"/>
            <w:vAlign w:val="center"/>
          </w:tcPr>
          <w:p w14:paraId="560A06F7" w14:textId="77777777" w:rsidR="00345C0A" w:rsidRDefault="00000000">
            <w:pPr>
              <w:pStyle w:val="TableContents"/>
            </w:pPr>
            <w:r>
              <w:t>16–19</w:t>
            </w:r>
          </w:p>
        </w:tc>
        <w:tc>
          <w:tcPr>
            <w:tcW w:w="3481" w:type="dxa"/>
            <w:vAlign w:val="center"/>
          </w:tcPr>
          <w:p w14:paraId="59BA12FC" w14:textId="08558F30" w:rsidR="00345C0A" w:rsidRDefault="00000000">
            <w:pPr>
              <w:pStyle w:val="TableContents"/>
              <w:ind w:left="0" w:right="0"/>
            </w:pPr>
            <w:r>
              <w:t>A</w:t>
            </w:r>
            <w:r>
              <w:noBreakHyphen/>
              <w:t>levels, BTECs, IB or apprenticeships</w:t>
            </w:r>
          </w:p>
        </w:tc>
        <w:tc>
          <w:tcPr>
            <w:tcW w:w="3693" w:type="dxa"/>
            <w:vAlign w:val="center"/>
          </w:tcPr>
          <w:p w14:paraId="527744E8" w14:textId="77777777" w:rsidR="00345C0A" w:rsidRDefault="00000000">
            <w:pPr>
              <w:pStyle w:val="TableContents"/>
            </w:pPr>
            <w:r>
              <w:t>Sixth</w:t>
            </w:r>
            <w:r>
              <w:noBreakHyphen/>
              <w:t>form colleges and boarding schools prepare students for university entry</w:t>
            </w:r>
          </w:p>
        </w:tc>
      </w:tr>
    </w:tbl>
    <w:p w14:paraId="17B28987" w14:textId="77777777" w:rsidR="00345C0A" w:rsidRDefault="00000000">
      <w:pPr>
        <w:pStyle w:val="Heading2"/>
        <w:rPr>
          <w:shd w:val="clear" w:color="auto" w:fill="FFFFFF"/>
        </w:rPr>
      </w:pPr>
      <w:r>
        <w:rPr>
          <w:shd w:val="clear" w:color="auto" w:fill="FFFFFF"/>
        </w:rPr>
        <w:lastRenderedPageBreak/>
        <w:t>Conclusion</w:t>
      </w:r>
    </w:p>
    <w:p w14:paraId="3752C86D" w14:textId="77777777" w:rsidR="00345C0A" w:rsidRDefault="00000000">
      <w:pPr>
        <w:pStyle w:val="BodyText"/>
        <w:rPr>
          <w:shd w:val="clear" w:color="auto" w:fill="FFFFFF"/>
        </w:rPr>
      </w:pPr>
      <w:r>
        <w:rPr>
          <w:shd w:val="clear" w:color="auto" w:fill="FFFFFF"/>
        </w:rPr>
        <w:t>The UK education system offers a structured pathway from early childhood to university, with internationally respected qualifications and abundant opportunities for personal growth. Independent schools provide a gateway for international pupils seeking a British education and, when combined with the country’s world</w:t>
      </w:r>
      <w:r>
        <w:rPr>
          <w:shd w:val="clear" w:color="auto" w:fill="FFFFFF"/>
        </w:rPr>
        <w:noBreakHyphen/>
        <w:t>leading universities and cultural diversity, make the UK an appealing destination for ambitious families. By understanding each stage and the visa requirements, parents can make informed decisions that set their children on a path toward academic success and global opportunity.</w:t>
      </w:r>
    </w:p>
    <w:p w14:paraId="7DDFC2E7" w14:textId="77777777" w:rsidR="00345C0A" w:rsidRDefault="00000000">
      <w:pPr>
        <w:pStyle w:val="BodyText"/>
      </w:pPr>
      <w:r>
        <w:rPr>
          <w:shd w:val="clear" w:color="auto" w:fill="FFFFFF"/>
        </w:rPr>
        <w:t xml:space="preserve">For </w:t>
      </w:r>
      <w:proofErr w:type="spellStart"/>
      <w:r>
        <w:rPr>
          <w:shd w:val="clear" w:color="auto" w:fill="FFFFFF"/>
        </w:rPr>
        <w:t>personalised</w:t>
      </w:r>
      <w:proofErr w:type="spellEnd"/>
      <w:r>
        <w:rPr>
          <w:shd w:val="clear" w:color="auto" w:fill="FFFFFF"/>
        </w:rPr>
        <w:t xml:space="preserve"> advice on choosing schools and navigating admissions, please </w:t>
      </w:r>
      <w:hyperlink r:id="rId4">
        <w:r>
          <w:rPr>
            <w:rStyle w:val="Hyperlink"/>
            <w:shd w:val="clear" w:color="auto" w:fill="FFFFFF"/>
          </w:rPr>
          <w:t>contact Nova Scholars</w:t>
        </w:r>
      </w:hyperlink>
      <w:r>
        <w:rPr>
          <w:shd w:val="clear" w:color="auto" w:fill="FFFFFF"/>
        </w:rPr>
        <w:t>. Our London</w:t>
      </w:r>
      <w:r>
        <w:rPr>
          <w:shd w:val="clear" w:color="auto" w:fill="FFFFFF"/>
        </w:rPr>
        <w:noBreakHyphen/>
        <w:t xml:space="preserve">based team </w:t>
      </w:r>
      <w:proofErr w:type="spellStart"/>
      <w:r>
        <w:rPr>
          <w:shd w:val="clear" w:color="auto" w:fill="FFFFFF"/>
        </w:rPr>
        <w:t>specialises</w:t>
      </w:r>
      <w:proofErr w:type="spellEnd"/>
      <w:r>
        <w:rPr>
          <w:shd w:val="clear" w:color="auto" w:fill="FFFFFF"/>
        </w:rPr>
        <w:t xml:space="preserve"> in supporting international students as they embark on their UK educational journey.</w:t>
      </w:r>
    </w:p>
    <w:sectPr w:rsidR="00345C0A" w:rsidSect="00C50466">
      <w:pgSz w:w="11906" w:h="16838"/>
      <w:pgMar w:top="735" w:right="567" w:bottom="1513"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Noto Sans Devanagari">
    <w:panose1 w:val="020B0502040504020204"/>
    <w:charset w:val="00"/>
    <w:family w:val="swiss"/>
    <w:pitch w:val="variable"/>
    <w:sig w:usb0="80008023" w:usb1="00002046" w:usb2="00000000" w:usb3="00000000" w:csb0="00000001" w:csb1="00000000"/>
  </w:font>
  <w:font w:name="Quicksand;Arial;sans-serif">
    <w:altName w:val="Cambria"/>
    <w:panose1 w:val="020B0604020202020204"/>
    <w:charset w:val="00"/>
    <w:family w:val="roman"/>
    <w:pitch w:val="default"/>
  </w:font>
  <w:font w:name="Playfair Display;Georgia;serif">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DejaVu San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1134"/>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0A"/>
    <w:rsid w:val="0011700B"/>
    <w:rsid w:val="00345C0A"/>
    <w:rsid w:val="003C4558"/>
    <w:rsid w:val="00C5046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6B747BC"/>
  <w15:docId w15:val="{FAF28F26-5BAD-BF4C-99F6-F363F45F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384" w:lineRule="auto"/>
    </w:pPr>
    <w:rPr>
      <w:rFonts w:ascii="Quicksand;Arial;sans-serif" w:eastAsia="Quicksand;Arial;sans-serif" w:hAnsi="Quicksand;Arial;sans-serif" w:cs="Quicksand;Arial;sans-serif"/>
      <w:color w:val="214457"/>
    </w:rPr>
  </w:style>
  <w:style w:type="paragraph" w:styleId="Heading1">
    <w:name w:val="heading 1"/>
    <w:basedOn w:val="Heading"/>
    <w:next w:val="BodyText"/>
    <w:uiPriority w:val="9"/>
    <w:qFormat/>
    <w:pPr>
      <w:spacing w:after="225"/>
      <w:outlineLvl w:val="0"/>
    </w:pPr>
    <w:rPr>
      <w:rFonts w:ascii="Playfair Display;Georgia;serif" w:eastAsia="Playfair Display;Georgia;serif" w:hAnsi="Playfair Display;Georgia;serif" w:cs="Playfair Display;Georgia;serif"/>
      <w:b/>
      <w:bCs/>
      <w:sz w:val="48"/>
      <w:szCs w:val="48"/>
    </w:rPr>
  </w:style>
  <w:style w:type="paragraph" w:styleId="Heading2">
    <w:name w:val="heading 2"/>
    <w:basedOn w:val="Heading"/>
    <w:next w:val="BodyText"/>
    <w:uiPriority w:val="9"/>
    <w:unhideWhenUsed/>
    <w:qFormat/>
    <w:pPr>
      <w:pBdr>
        <w:left w:val="single" w:sz="24" w:space="8" w:color="D4AF37"/>
      </w:pBdr>
      <w:spacing w:before="450" w:after="150"/>
      <w:outlineLvl w:val="1"/>
    </w:pPr>
    <w:rPr>
      <w:rFonts w:ascii="Playfair Display;Georgia;serif" w:eastAsia="Playfair Display;Georgia;serif" w:hAnsi="Playfair Display;Georgia;serif" w:cs="Playfair Display;Georgia;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Pr>
      <w:vertAlign w:val="superscript"/>
    </w:rPr>
  </w:style>
  <w:style w:type="character" w:styleId="FootnoteReference">
    <w:name w:val="footnote reference"/>
    <w:rPr>
      <w:vertAlign w:val="superscript"/>
    </w:rPr>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character" w:styleId="Strong">
    <w:name w:val="Strong"/>
    <w:qFormat/>
    <w:rPr>
      <w:b/>
      <w:bCs/>
      <w:color w:val="214457"/>
    </w:rPr>
  </w:style>
  <w:style w:type="character" w:styleId="Emphasis">
    <w:name w:val="Emphasis"/>
    <w:qFormat/>
    <w:rPr>
      <w:i/>
      <w:iCs/>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before="225" w:after="225"/>
      <w:ind w:left="225" w:right="225"/>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rPr>
  </w:style>
  <w:style w:type="paragraph" w:styleId="List">
    <w:name w:val="List"/>
    <w:basedOn w:val="BodyText"/>
    <w:rPr>
      <w:rFonts w:cs="Noto Sans Devanagari"/>
    </w:rPr>
  </w:style>
  <w:style w:type="paragraph" w:customStyle="1" w:styleId="BlockQuotation">
    <w:name w:val="Block Quotation"/>
    <w:basedOn w:val="Normal"/>
    <w:qFormat/>
    <w:pPr>
      <w:pBdr>
        <w:left w:val="single" w:sz="24" w:space="15" w:color="D4AF37"/>
      </w:pBdr>
      <w:spacing w:before="300" w:after="300"/>
      <w:ind w:left="300" w:right="300"/>
    </w:pPr>
    <w:rPr>
      <w:i/>
      <w:iCs/>
    </w:rPr>
  </w:style>
  <w:style w:type="paragraph" w:customStyle="1" w:styleId="TableHeading">
    <w:name w:val="Table Heading"/>
    <w:basedOn w:val="TableContents"/>
    <w:qFormat/>
    <w:pPr>
      <w:suppressLineNumbers/>
    </w:pPr>
    <w:rPr>
      <w:rFonts w:ascii="Playfair Display;Georgia;serif" w:eastAsia="Playfair Display;Georgia;serif" w:hAnsi="Playfair Display;Georgia;serif" w:cs="Playfair Display;Georgia;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resasong.co/"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1239</Words>
  <Characters>7424</Characters>
  <Application>Microsoft Office Word</Application>
  <DocSecurity>0</DocSecurity>
  <Lines>128</Lines>
  <Paragraphs>22</Paragraphs>
  <ScaleCrop>false</ScaleCrop>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 UK Education System</dc:title>
  <dc:subject/>
  <dc:creator>J S</dc:creator>
  <dc:description/>
  <cp:lastModifiedBy>J S</cp:lastModifiedBy>
  <cp:revision>3</cp:revision>
  <dcterms:created xsi:type="dcterms:W3CDTF">2025-07-28T20:37:00Z</dcterms:created>
  <dcterms:modified xsi:type="dcterms:W3CDTF">2025-07-28T20:49:00Z</dcterms:modified>
  <dc:language>en-US</dc:language>
</cp:coreProperties>
</file>